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3AAF" w14:textId="7CB7D452" w:rsidR="00C21EC0" w:rsidRPr="009B31F8" w:rsidRDefault="00C21EC0" w:rsidP="009B31F8">
      <w:pPr>
        <w:spacing w:before="0" w:after="100" w:afterAutospacing="1"/>
        <w:jc w:val="left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b/>
          <w:bCs/>
          <w:sz w:val="22"/>
          <w:szCs w:val="22"/>
          <w:lang w:val="sr-Latn-RS"/>
        </w:rPr>
        <w:t xml:space="preserve">Procesing </w:t>
      </w:r>
      <w:r w:rsidRPr="00C21EC0">
        <w:rPr>
          <w:rFonts w:cs="Times New Roman"/>
          <w:b/>
          <w:bCs/>
          <w:sz w:val="22"/>
          <w:szCs w:val="22"/>
        </w:rPr>
        <w:t>‘24</w:t>
      </w:r>
    </w:p>
    <w:p w14:paraId="0D1A1329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Tematske oblasti</w:t>
      </w:r>
    </w:p>
    <w:p w14:paraId="737DB170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1. Procesne tehnologije</w:t>
      </w:r>
    </w:p>
    <w:p w14:paraId="380D1DAF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Naftna, hemijska i petrohemijska industrija; crna i obojena metalurgija; industrija nemetalnih minerala; industrija plastičnih materijala; industrija građevinskih materijala; industrija vatrostalnih i termoizolacionih materijala; industrija papira i celuloze; farmaceutska industrija; prehrambena industrija; proizvodnja alkoholnih i bezalkoholnih pića; proizvodnja stočne hrane; proizvodnja veštačkih đubriva i agrohemikalija; duvanska industrija; tekstilna industrija; gumarska industrija.</w:t>
      </w:r>
    </w:p>
    <w:p w14:paraId="16FDF564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2. Projektovanje, izgradnja, eksploatacija i održavanje procesnih postrojenja</w:t>
      </w:r>
    </w:p>
    <w:p w14:paraId="27BBC809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Projektovanje procesnih postrojenja; Izgradnja procesnih postrojenja; puštanje u rad; eksploatacija i održavanje procesnih postrojenja; ispitivanje funkcionalnosti i bezbednosti; sistemi automatskog upravlljanja i kontrole procesa; informacione tehnologije u projektovanju i upravljanju procesnim postrojenjima.</w:t>
      </w:r>
    </w:p>
    <w:p w14:paraId="12B0AEBA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3. Osnovne i pomoćne operacije, aparati i mašine u procesnoj industriji</w:t>
      </w:r>
    </w:p>
    <w:p w14:paraId="1F2BBE7C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Toplotne (zagrevanje, isparavanje, kondenzacija, hlađenje, topljenje, i dr.); difuzione (destilacija, rektifikacija, adsorpcija, apsorpcija, kristalizacija, ekstrakcija, sušenje, i dr.); mehaničke (drobljenje, mlevenje, prosejavanje, klasiranje, briketiranje, tabletiranje, i dr.); hidromehaničke (taloženje, filtriranje, centrifugiranje, otprašivanje, mešanje, i dr.); biohemijske i hemijske operacije (fermentacija, oksidacija, redukcija, i dr.); pomoćne operacije i oprema (transport, skladištenje, pakovanje, i dr.); aparati i mašine, cevovodi i armature.</w:t>
      </w:r>
    </w:p>
    <w:p w14:paraId="21CEF0B7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4. Energija u procesnoj industriji</w:t>
      </w:r>
    </w:p>
    <w:p w14:paraId="1AF55C3F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Korišćenje energije u procesnim postrojenjima; energetska efikasnost procesnih postrojenja; primena obnovljivih izvora energije; korišćenje otpadne toplote procesa.</w:t>
      </w:r>
    </w:p>
    <w:p w14:paraId="325F0B4F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5. Inženjerstvo životne sredine i održivi razvoj u procesnoj industriji</w:t>
      </w:r>
    </w:p>
    <w:p w14:paraId="034194A5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Zaštita životne sredine, zaštita radne sredine; upravljanje otpadnim materijalima u procesnoj industriji; rešenja za smanjenje emisije gasova staklene bašte iz procesne industrije.</w:t>
      </w:r>
    </w:p>
    <w:p w14:paraId="6837C37A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6. Procesi i postrojenja u pripremi i prečišćavanju vode u procesnoj industriji</w:t>
      </w:r>
    </w:p>
    <w:p w14:paraId="3E53177F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Tretman vode za različite primene u procesnoj industriji; prečišćavanje otpadnih voda u procesnoj industriji.</w:t>
      </w:r>
    </w:p>
    <w:p w14:paraId="21201799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7. Sušenje i sušare</w:t>
      </w:r>
    </w:p>
    <w:p w14:paraId="673611C9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Procesi i oprema za sušenje; konvencionalne i nove tehnologije sušenja; kontrola i upravlljanje procesima sušenja, energetska efikasnost, uticaj na okolinu; sušare: u prehrambenoj industriji, industriji nemetala, za sušenje drveta i dr.</w:t>
      </w:r>
    </w:p>
    <w:p w14:paraId="00437BF3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8. Gasna tehnika</w:t>
      </w:r>
    </w:p>
    <w:p w14:paraId="37F6BAB2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lastRenderedPageBreak/>
        <w:t>Gorivi gasovi; tehnički i medicinski gasovi; proizvodnja i primena.</w:t>
      </w:r>
    </w:p>
    <w:p w14:paraId="347B2C25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9. Hidraulički i pneumatski transport</w:t>
      </w:r>
    </w:p>
    <w:p w14:paraId="745969AB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Transport sitnozrnastih i praškastih čvrstih materijala cevima; Transport tečnih i gasovitih fluida cevima.</w:t>
      </w:r>
    </w:p>
    <w:p w14:paraId="685A6A4F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10. Modelovanje i optimizacija procesnih i termoenergetskih postrojenja</w:t>
      </w:r>
    </w:p>
    <w:p w14:paraId="635BBF96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11. Merenja i upravljanje u procesnoj industriji</w:t>
      </w:r>
    </w:p>
    <w:p w14:paraId="51D1CAA9" w14:textId="77777777" w:rsidR="00C21EC0" w:rsidRPr="00C21EC0" w:rsidRDefault="00C21EC0" w:rsidP="00C21EC0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Osnovne merne veličine u procesnoj industriji; zakonska regulativa i standardizacija iz oblasti merenja i ispitivanja; merenja u cilju kontrole, vođenja i automatskog upravljanja procesom; merni sistemi (senzori, davači, izvršni elementi); organizacija složenih sistema merenja sa akvizicijom podataka.</w:t>
      </w:r>
    </w:p>
    <w:p w14:paraId="7C38F766" w14:textId="77777777" w:rsidR="00C21EC0" w:rsidRPr="00C21EC0" w:rsidRDefault="00C21EC0" w:rsidP="00C21EC0">
      <w:pPr>
        <w:spacing w:before="0" w:after="100" w:afterAutospacing="1"/>
        <w:rPr>
          <w:rFonts w:cs="Times New Roman"/>
          <w:i/>
          <w:iCs/>
          <w:sz w:val="22"/>
          <w:szCs w:val="22"/>
          <w:lang w:val="sr-Latn-RS"/>
        </w:rPr>
      </w:pPr>
      <w:r w:rsidRPr="00C21EC0">
        <w:rPr>
          <w:rFonts w:cs="Times New Roman"/>
          <w:i/>
          <w:iCs/>
          <w:sz w:val="22"/>
          <w:szCs w:val="22"/>
          <w:lang w:val="sr-Latn-RS"/>
        </w:rPr>
        <w:t>12. Inženjerski menadžment, kvalitet i standardizacija</w:t>
      </w:r>
    </w:p>
    <w:p w14:paraId="4C03E958" w14:textId="77777777" w:rsidR="009B31F8" w:rsidRDefault="00C21EC0" w:rsidP="009B31F8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sz w:val="22"/>
          <w:szCs w:val="22"/>
          <w:lang w:val="sr-Latn-RS"/>
        </w:rPr>
        <w:t>Sistemi menadžmenta kvaliteta i srodni, standardizovani sistemi menadžmenta – životna sredina, bezbednost hrane, zdravlje i bezbednost na radu, sigurnost informacija, rizici i dr.; Integracija sistema menadžmenta organizacije; Metode, tehnike i alati u planiranju, upravljanju, poboljšavanju i obezbeđivanju kvaliteta, i srodnim sistemima menadžmenta organizacije; Standardizacija, metrologija i kontrola kvaliteta; Akreditacije, provere, ocene i sertifikacije sistema menadžmenta organizacije; Kultura kvaliteta i strategije kvaliteta u proizvodnim i uslužnim organizacijama</w:t>
      </w:r>
    </w:p>
    <w:p w14:paraId="35D538FB" w14:textId="28BF3FEB" w:rsidR="00C21EC0" w:rsidRPr="009B31F8" w:rsidRDefault="00C21EC0" w:rsidP="009B31F8">
      <w:pPr>
        <w:spacing w:before="0" w:after="100" w:afterAutospacing="1"/>
        <w:rPr>
          <w:rFonts w:cs="Times New Roman"/>
          <w:sz w:val="22"/>
          <w:szCs w:val="22"/>
          <w:lang w:val="sr-Latn-RS"/>
        </w:rPr>
      </w:pPr>
      <w:r w:rsidRPr="00C21EC0">
        <w:rPr>
          <w:rFonts w:cs="Times New Roman"/>
          <w:b/>
          <w:bCs/>
          <w:sz w:val="22"/>
          <w:szCs w:val="22"/>
          <w:lang w:val="sr-Latn-RS"/>
        </w:rPr>
        <w:t>IEEP2024</w:t>
      </w:r>
    </w:p>
    <w:p w14:paraId="7FE4D7AE" w14:textId="796F9556" w:rsidR="00C21EC0" w:rsidRPr="00643476" w:rsidRDefault="00C21EC0" w:rsidP="00C21EC0">
      <w:pPr>
        <w:spacing w:before="0" w:after="100" w:afterAutospacing="1"/>
        <w:rPr>
          <w:rFonts w:cs="Times New Roman"/>
          <w:b/>
          <w:bCs/>
          <w:sz w:val="22"/>
          <w:szCs w:val="22"/>
          <w:lang w:val="sr-Latn-RS"/>
        </w:rPr>
      </w:pPr>
      <w:r w:rsidRPr="00643476">
        <w:rPr>
          <w:rFonts w:cs="Times New Roman"/>
          <w:b/>
          <w:bCs/>
          <w:sz w:val="22"/>
          <w:szCs w:val="22"/>
          <w:lang w:val="sr-Latn-RS"/>
        </w:rPr>
        <w:t>Tem</w:t>
      </w:r>
      <w:r w:rsidR="009B31F8">
        <w:rPr>
          <w:rFonts w:cs="Times New Roman"/>
          <w:b/>
          <w:bCs/>
          <w:sz w:val="22"/>
          <w:szCs w:val="22"/>
          <w:lang w:val="sr-Latn-RS"/>
        </w:rPr>
        <w:t>atske oblasti</w:t>
      </w:r>
      <w:r w:rsidRPr="00643476">
        <w:rPr>
          <w:rFonts w:cs="Times New Roman"/>
          <w:b/>
          <w:bCs/>
          <w:sz w:val="22"/>
          <w:szCs w:val="22"/>
          <w:lang w:val="sr-Latn-RS"/>
        </w:rPr>
        <w:t>:</w:t>
      </w:r>
    </w:p>
    <w:p w14:paraId="3C724F18" w14:textId="29D9E2E0" w:rsidR="00C21EC0" w:rsidRPr="00643476" w:rsidRDefault="00C21EC0" w:rsidP="00643476">
      <w:pPr>
        <w:pStyle w:val="ListParagraph"/>
        <w:numPr>
          <w:ilvl w:val="0"/>
          <w:numId w:val="12"/>
        </w:numPr>
        <w:ind w:left="714" w:hanging="357"/>
        <w:rPr>
          <w:rFonts w:cs="Times New Roman"/>
          <w:i/>
          <w:iCs/>
          <w:sz w:val="22"/>
          <w:szCs w:val="22"/>
          <w:lang w:val="sr-Latn-RS"/>
        </w:rPr>
      </w:pPr>
      <w:r w:rsidRPr="00643476">
        <w:rPr>
          <w:rFonts w:cs="Times New Roman"/>
          <w:i/>
          <w:iCs/>
          <w:sz w:val="22"/>
          <w:szCs w:val="22"/>
          <w:lang w:val="sr-Latn-RS"/>
        </w:rPr>
        <w:t>Energetska politika, snabdevanje energijom, zakonodavstvo i podsticajni elementi</w:t>
      </w:r>
    </w:p>
    <w:p w14:paraId="2C59617D" w14:textId="407E864A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</w:rPr>
      </w:pPr>
      <w:r w:rsidRPr="00643476">
        <w:rPr>
          <w:rFonts w:cs="Times New Roman"/>
          <w:sz w:val="20"/>
          <w:szCs w:val="20"/>
          <w:lang w:val="sr-Latn-RS"/>
        </w:rPr>
        <w:t>Energetska politika;</w:t>
      </w:r>
    </w:p>
    <w:p w14:paraId="7BFDB0D4" w14:textId="50F2A22B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</w:rPr>
      </w:pPr>
      <w:r w:rsidRPr="00643476">
        <w:rPr>
          <w:rFonts w:cs="Times New Roman"/>
          <w:sz w:val="20"/>
          <w:szCs w:val="20"/>
          <w:lang w:val="sr-Latn-RS"/>
        </w:rPr>
        <w:t>Energetska tranzicija;</w:t>
      </w:r>
    </w:p>
    <w:p w14:paraId="4E75AC9A" w14:textId="07442AEF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</w:rPr>
      </w:pPr>
      <w:r w:rsidRPr="00643476">
        <w:rPr>
          <w:rFonts w:cs="Times New Roman"/>
          <w:sz w:val="20"/>
          <w:szCs w:val="20"/>
          <w:lang w:val="sr-Latn-RS"/>
        </w:rPr>
        <w:t>Podsticajne mere za unapređenje energetske efikasnosti;</w:t>
      </w:r>
    </w:p>
    <w:p w14:paraId="136B65E4" w14:textId="5D2FC819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</w:rPr>
      </w:pPr>
      <w:r w:rsidRPr="00643476">
        <w:rPr>
          <w:rFonts w:cs="Times New Roman"/>
          <w:sz w:val="20"/>
          <w:szCs w:val="20"/>
          <w:lang w:val="sr-Latn-RS"/>
        </w:rPr>
        <w:t>Modeli finansiranja energetske efikasnosti;</w:t>
      </w:r>
    </w:p>
    <w:p w14:paraId="1A309C6B" w14:textId="0D1C468B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</w:rPr>
      </w:pPr>
      <w:r w:rsidRPr="00643476">
        <w:rPr>
          <w:rFonts w:cs="Times New Roman"/>
          <w:sz w:val="20"/>
          <w:szCs w:val="20"/>
          <w:lang w:val="sr-Latn-RS"/>
        </w:rPr>
        <w:t>Zakonska regulativa.</w:t>
      </w:r>
    </w:p>
    <w:p w14:paraId="35027DAE" w14:textId="344FCB5D" w:rsidR="00C21EC0" w:rsidRPr="00643476" w:rsidRDefault="00C21EC0" w:rsidP="00643476">
      <w:pPr>
        <w:pStyle w:val="ListParagraph"/>
        <w:numPr>
          <w:ilvl w:val="0"/>
          <w:numId w:val="12"/>
        </w:numPr>
        <w:ind w:left="714" w:hanging="357"/>
        <w:rPr>
          <w:rFonts w:cs="Times New Roman"/>
          <w:i/>
          <w:iCs/>
          <w:sz w:val="22"/>
          <w:szCs w:val="22"/>
          <w:lang w:val="sr-Latn-RS"/>
        </w:rPr>
      </w:pPr>
      <w:r w:rsidRPr="00643476">
        <w:rPr>
          <w:rFonts w:cs="Times New Roman"/>
          <w:i/>
          <w:iCs/>
          <w:sz w:val="22"/>
          <w:szCs w:val="22"/>
          <w:lang w:val="sr-Latn-RS"/>
        </w:rPr>
        <w:t>Korišćenje energetskih izvora, energetska efikasnost i sistem energetskog menadžmenta u industriji</w:t>
      </w:r>
    </w:p>
    <w:p w14:paraId="767BCE1E" w14:textId="40A5C619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Korišćenje energije u procesnim i drugim industrijskim postrojenjima;</w:t>
      </w:r>
    </w:p>
    <w:p w14:paraId="069F4EF6" w14:textId="32AD863F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Energetska efikasnost i održivi razvoj procesnih i drugih industrijskih preduzeća;</w:t>
      </w:r>
    </w:p>
    <w:p w14:paraId="28A4E2CC" w14:textId="4603FE92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Energetski efikasne tehnologije;</w:t>
      </w:r>
    </w:p>
    <w:p w14:paraId="589D851F" w14:textId="2249FF28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Unapređenje upravljanja i automatizacije procesa i energetska efikasnost;</w:t>
      </w:r>
    </w:p>
    <w:p w14:paraId="2E08EE60" w14:textId="0BCE6C63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Problemi i mogućnosti korišćenja kogeneracije i trigeneracije u industriji;</w:t>
      </w:r>
    </w:p>
    <w:p w14:paraId="27AD92DF" w14:textId="0920D70D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Korišćenje otpadne toplote;</w:t>
      </w:r>
    </w:p>
    <w:p w14:paraId="48E83F1E" w14:textId="4BE6D355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Revitalizacija tehnoloških energetskih sistema u industrijskim preduzećima;</w:t>
      </w:r>
    </w:p>
    <w:p w14:paraId="10CA2E07" w14:textId="714633E6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Programi energetskog menadžmenta;</w:t>
      </w:r>
      <w:bookmarkStart w:id="0" w:name="_GoBack"/>
      <w:bookmarkEnd w:id="0"/>
    </w:p>
    <w:p w14:paraId="37548B00" w14:textId="2D41FE75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Analiza stanja i metodi optimizacije u industrijskoj energetici;</w:t>
      </w:r>
    </w:p>
    <w:p w14:paraId="41654B47" w14:textId="1505E3E4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Merenje, upravljanje i vizuelizacija procesa.</w:t>
      </w:r>
    </w:p>
    <w:p w14:paraId="6044B062" w14:textId="3CF1F9C4" w:rsidR="00C21EC0" w:rsidRPr="00643476" w:rsidRDefault="00C21EC0" w:rsidP="00643476">
      <w:pPr>
        <w:pStyle w:val="ListParagraph"/>
        <w:numPr>
          <w:ilvl w:val="0"/>
          <w:numId w:val="12"/>
        </w:numPr>
        <w:spacing w:before="0" w:after="0"/>
        <w:rPr>
          <w:rFonts w:cs="Times New Roman"/>
          <w:i/>
          <w:iCs/>
          <w:sz w:val="22"/>
          <w:szCs w:val="22"/>
          <w:lang w:val="sr-Latn-RS"/>
        </w:rPr>
      </w:pPr>
      <w:r w:rsidRPr="00643476">
        <w:rPr>
          <w:rFonts w:cs="Times New Roman"/>
          <w:i/>
          <w:iCs/>
          <w:sz w:val="22"/>
          <w:szCs w:val="22"/>
          <w:lang w:val="sr-Latn-RS"/>
        </w:rPr>
        <w:t>Energetska efikasnost i energetski menadžment u zgradarstvu</w:t>
      </w:r>
    </w:p>
    <w:p w14:paraId="3832BD2D" w14:textId="6B072519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Energetska efikasnost u zgradarstvu;</w:t>
      </w:r>
    </w:p>
    <w:p w14:paraId="0D903B32" w14:textId="69F3CF86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Studije slučaja i najbolja tehnička rešenja za unapređenje energetske efikasnosti u zgradarstvu;</w:t>
      </w:r>
    </w:p>
    <w:p w14:paraId="713BAA74" w14:textId="496D26EA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Zeleni objekti;</w:t>
      </w:r>
    </w:p>
    <w:p w14:paraId="19071450" w14:textId="7B7AB3AC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Novi materijali;</w:t>
      </w:r>
    </w:p>
    <w:p w14:paraId="3FA2F164" w14:textId="2D4BD76E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lastRenderedPageBreak/>
        <w:t>Pametni sistemi za snabdevanje energijom u zgradama;</w:t>
      </w:r>
    </w:p>
    <w:p w14:paraId="6913693C" w14:textId="519459DF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Kogeneracija i trigeneracija u zgradarstvu;</w:t>
      </w:r>
    </w:p>
    <w:p w14:paraId="28B90FD2" w14:textId="4348A1B8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ESCO koncept u zgradarstvu.</w:t>
      </w:r>
    </w:p>
    <w:p w14:paraId="4FC7C8A3" w14:textId="34DC2587" w:rsidR="00C21EC0" w:rsidRPr="00643476" w:rsidRDefault="00C21EC0" w:rsidP="00643476">
      <w:pPr>
        <w:pStyle w:val="ListParagraph"/>
        <w:numPr>
          <w:ilvl w:val="0"/>
          <w:numId w:val="12"/>
        </w:numPr>
        <w:spacing w:before="0" w:after="0"/>
        <w:rPr>
          <w:rFonts w:cs="Times New Roman"/>
          <w:i/>
          <w:iCs/>
          <w:sz w:val="22"/>
          <w:szCs w:val="22"/>
          <w:lang w:val="sr-Latn-RS"/>
        </w:rPr>
      </w:pPr>
      <w:r w:rsidRPr="00643476">
        <w:rPr>
          <w:rFonts w:cs="Times New Roman"/>
          <w:i/>
          <w:iCs/>
          <w:sz w:val="22"/>
          <w:szCs w:val="22"/>
          <w:lang w:val="sr-Latn-RS"/>
        </w:rPr>
        <w:t>Inženjerstvo zaštite životne sredine i održivi razvoj</w:t>
      </w:r>
    </w:p>
    <w:p w14:paraId="22F3D4E6" w14:textId="11D037D0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Zaštita životne i radne sredine i održivi razvoj;</w:t>
      </w:r>
    </w:p>
    <w:p w14:paraId="7F3B382B" w14:textId="7BF9DE9B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Tretman, korišćenje i upravljanje otpadnim materijalima;</w:t>
      </w:r>
    </w:p>
    <w:p w14:paraId="1DE6C7CE" w14:textId="3BDDDB6B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Rešenja za smanjenje emisije gasova staklene bašte;</w:t>
      </w:r>
    </w:p>
    <w:p w14:paraId="398BD8D1" w14:textId="49375C21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Koncepti i projekti čistije proizvodnje;</w:t>
      </w:r>
    </w:p>
    <w:p w14:paraId="45099F7E" w14:textId="0C3D0B44" w:rsid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Reciklaža i primena analize životnog veka proizvoda</w:t>
      </w:r>
      <w:r>
        <w:rPr>
          <w:rFonts w:cs="Times New Roman"/>
          <w:sz w:val="20"/>
          <w:szCs w:val="20"/>
          <w:lang w:val="sr-Latn-RS"/>
        </w:rPr>
        <w:t>;</w:t>
      </w:r>
    </w:p>
    <w:p w14:paraId="393DD969" w14:textId="5E2C49CE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Zeleni sertifikati objekata.</w:t>
      </w:r>
    </w:p>
    <w:p w14:paraId="215ED74C" w14:textId="4EBD0035" w:rsidR="00C21EC0" w:rsidRPr="00643476" w:rsidRDefault="00C21EC0" w:rsidP="00643476">
      <w:pPr>
        <w:pStyle w:val="ListParagraph"/>
        <w:numPr>
          <w:ilvl w:val="0"/>
          <w:numId w:val="12"/>
        </w:numPr>
        <w:spacing w:before="0" w:after="0"/>
        <w:rPr>
          <w:rFonts w:cs="Times New Roman"/>
          <w:i/>
          <w:iCs/>
          <w:sz w:val="22"/>
          <w:szCs w:val="22"/>
          <w:lang w:val="sr-Latn-RS"/>
        </w:rPr>
      </w:pPr>
      <w:r w:rsidRPr="00643476">
        <w:rPr>
          <w:rFonts w:cs="Times New Roman"/>
          <w:i/>
          <w:iCs/>
          <w:sz w:val="22"/>
          <w:szCs w:val="22"/>
          <w:lang w:val="sr-Latn-RS"/>
        </w:rPr>
        <w:t>Korišćenje alternativnih goriva i obnovljivih izvora energije</w:t>
      </w:r>
    </w:p>
    <w:p w14:paraId="273D94C5" w14:textId="16E31244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Korišćenje obnovljivih izvora energije;</w:t>
      </w:r>
    </w:p>
    <w:p w14:paraId="0081012B" w14:textId="10FD27C8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Korišćenje otpadnih materija</w:t>
      </w:r>
      <w:r>
        <w:rPr>
          <w:rFonts w:cs="Times New Roman"/>
          <w:sz w:val="20"/>
          <w:szCs w:val="20"/>
          <w:lang w:val="sr-Latn-RS"/>
        </w:rPr>
        <w:t>la</w:t>
      </w:r>
      <w:r w:rsidRPr="00643476">
        <w:rPr>
          <w:rFonts w:cs="Times New Roman"/>
          <w:sz w:val="20"/>
          <w:szCs w:val="20"/>
          <w:lang w:val="sr-Latn-RS"/>
        </w:rPr>
        <w:t xml:space="preserve"> kao goriva;</w:t>
      </w:r>
    </w:p>
    <w:p w14:paraId="7016798D" w14:textId="6228F3E2" w:rsidR="00643476" w:rsidRPr="00643476" w:rsidRDefault="00643476" w:rsidP="00643476">
      <w:pPr>
        <w:pStyle w:val="ListParagraph"/>
        <w:numPr>
          <w:ilvl w:val="0"/>
          <w:numId w:val="13"/>
        </w:numPr>
        <w:shd w:val="clear" w:color="auto" w:fill="FFFFFF"/>
        <w:spacing w:before="0" w:after="0"/>
        <w:ind w:left="1077" w:hanging="357"/>
        <w:rPr>
          <w:rFonts w:cs="Times New Roman"/>
          <w:sz w:val="20"/>
          <w:szCs w:val="20"/>
          <w:lang w:val="sr-Latn-RS"/>
        </w:rPr>
      </w:pPr>
      <w:r w:rsidRPr="00643476">
        <w:rPr>
          <w:rFonts w:cs="Times New Roman"/>
          <w:sz w:val="20"/>
          <w:szCs w:val="20"/>
          <w:lang w:val="sr-Latn-RS"/>
        </w:rPr>
        <w:t>Zamena goriva i korišćenje alternativnih goriva.</w:t>
      </w:r>
    </w:p>
    <w:p w14:paraId="1CA5A36F" w14:textId="2D456E7E" w:rsidR="00C21EC0" w:rsidRPr="00643476" w:rsidRDefault="00C21EC0" w:rsidP="00643476">
      <w:pPr>
        <w:pStyle w:val="ListParagraph"/>
        <w:numPr>
          <w:ilvl w:val="0"/>
          <w:numId w:val="12"/>
        </w:numPr>
        <w:spacing w:before="0" w:after="0"/>
        <w:rPr>
          <w:rFonts w:cs="Times New Roman"/>
          <w:i/>
          <w:iCs/>
          <w:sz w:val="22"/>
          <w:szCs w:val="22"/>
          <w:lang w:val="sr-Latn-RS"/>
        </w:rPr>
      </w:pPr>
      <w:r w:rsidRPr="00643476">
        <w:rPr>
          <w:rFonts w:cs="Times New Roman"/>
          <w:i/>
          <w:iCs/>
          <w:sz w:val="22"/>
          <w:szCs w:val="22"/>
          <w:lang w:val="sr-Latn-RS"/>
        </w:rPr>
        <w:t>Posebne tematske sesije</w:t>
      </w:r>
    </w:p>
    <w:p w14:paraId="06249F64" w14:textId="4D1BC00A" w:rsidR="00C21EC0" w:rsidRPr="00643476" w:rsidRDefault="00C21EC0" w:rsidP="00643476">
      <w:pPr>
        <w:spacing w:before="0" w:after="100" w:afterAutospacing="1"/>
        <w:rPr>
          <w:rFonts w:cs="Times New Roman"/>
          <w:sz w:val="20"/>
          <w:szCs w:val="20"/>
          <w:lang w:val="sr-Latn-RS"/>
        </w:rPr>
      </w:pPr>
    </w:p>
    <w:sectPr w:rsidR="00C21EC0" w:rsidRPr="00643476" w:rsidSect="00521F0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26C4"/>
    <w:multiLevelType w:val="multilevel"/>
    <w:tmpl w:val="E986438C"/>
    <w:lvl w:ilvl="0">
      <w:start w:val="1"/>
      <w:numFmt w:val="decimal"/>
      <w:pStyle w:val="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C369F2"/>
    <w:multiLevelType w:val="hybridMultilevel"/>
    <w:tmpl w:val="17A80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4322"/>
    <w:multiLevelType w:val="hybridMultilevel"/>
    <w:tmpl w:val="53AE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E04A8"/>
    <w:multiLevelType w:val="singleLevel"/>
    <w:tmpl w:val="43CE04A8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24158"/>
    <w:multiLevelType w:val="hybridMultilevel"/>
    <w:tmpl w:val="27CAE102"/>
    <w:lvl w:ilvl="0" w:tplc="9A4A72B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21818"/>
    <w:multiLevelType w:val="hybridMultilevel"/>
    <w:tmpl w:val="E9C82250"/>
    <w:lvl w:ilvl="0" w:tplc="AA7A7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80A2E"/>
    <w:multiLevelType w:val="multilevel"/>
    <w:tmpl w:val="54D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3642FF9"/>
    <w:multiLevelType w:val="hybridMultilevel"/>
    <w:tmpl w:val="5C26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265B"/>
    <w:multiLevelType w:val="multilevel"/>
    <w:tmpl w:val="719E5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6"/>
  </w:num>
  <w:num w:numId="7">
    <w:abstractNumId w:val="3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MDEysDC0MDM0tzRU0lEKTi0uzszPAykwqgUAouRceywAAAA="/>
  </w:docVars>
  <w:rsids>
    <w:rsidRoot w:val="004C707F"/>
    <w:rsid w:val="000A714B"/>
    <w:rsid w:val="000E29D0"/>
    <w:rsid w:val="00191DC2"/>
    <w:rsid w:val="001F7635"/>
    <w:rsid w:val="0027651E"/>
    <w:rsid w:val="00282357"/>
    <w:rsid w:val="002A6665"/>
    <w:rsid w:val="003311B2"/>
    <w:rsid w:val="00491579"/>
    <w:rsid w:val="004A21F5"/>
    <w:rsid w:val="004C707F"/>
    <w:rsid w:val="00521F0B"/>
    <w:rsid w:val="00547190"/>
    <w:rsid w:val="00643476"/>
    <w:rsid w:val="006762F7"/>
    <w:rsid w:val="006910A2"/>
    <w:rsid w:val="009B31F8"/>
    <w:rsid w:val="00A724EE"/>
    <w:rsid w:val="00A762AC"/>
    <w:rsid w:val="00B371A8"/>
    <w:rsid w:val="00BA42EF"/>
    <w:rsid w:val="00BB4E16"/>
    <w:rsid w:val="00C21EC0"/>
    <w:rsid w:val="00C623F0"/>
    <w:rsid w:val="00CC6B4F"/>
    <w:rsid w:val="00D1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7F38"/>
  <w15:chartTrackingRefBased/>
  <w15:docId w15:val="{68A1043E-FB2A-4A70-BE3F-F1976A7E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before="80"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635"/>
    <w:pPr>
      <w:spacing w:before="120" w:after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4E16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635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E16"/>
    <w:pPr>
      <w:keepNext/>
      <w:keepLines/>
      <w:numPr>
        <w:ilvl w:val="2"/>
        <w:numId w:val="6"/>
      </w:numPr>
      <w:spacing w:before="240"/>
      <w:ind w:left="1225" w:hanging="505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724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16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A724EE"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F7635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4E16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A724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A724EE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4EE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4EE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24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A724EE"/>
    <w:rPr>
      <w:rFonts w:ascii="Times New Roman" w:hAnsi="Times New Roman"/>
      <w:i/>
      <w:iCs/>
      <w:color w:val="404040" w:themeColor="text1" w:themeTint="BF"/>
    </w:rPr>
  </w:style>
  <w:style w:type="paragraph" w:customStyle="1" w:styleId="lista">
    <w:name w:val="lista"/>
    <w:basedOn w:val="Normal"/>
    <w:link w:val="listaChar"/>
    <w:qFormat/>
    <w:rsid w:val="00CC6B4F"/>
    <w:pPr>
      <w:numPr>
        <w:numId w:val="9"/>
      </w:numPr>
      <w:tabs>
        <w:tab w:val="left" w:pos="567"/>
      </w:tabs>
      <w:spacing w:before="0" w:after="0"/>
      <w:ind w:left="499" w:hanging="357"/>
    </w:pPr>
    <w:rPr>
      <w:rFonts w:eastAsia="Times New Roman" w:cs="Times New Roman"/>
      <w:szCs w:val="20"/>
    </w:rPr>
  </w:style>
  <w:style w:type="character" w:customStyle="1" w:styleId="listaChar">
    <w:name w:val="lista Char"/>
    <w:link w:val="lista"/>
    <w:locked/>
    <w:rsid w:val="00CC6B4F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C707F"/>
    <w:pPr>
      <w:ind w:left="720"/>
      <w:contextualSpacing/>
    </w:pPr>
  </w:style>
  <w:style w:type="table" w:styleId="TableGrid">
    <w:name w:val="Table Grid"/>
    <w:basedOn w:val="TableNormal"/>
    <w:uiPriority w:val="39"/>
    <w:rsid w:val="004C707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1E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3476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Stamenic</dc:creator>
  <cp:keywords/>
  <dc:description/>
  <cp:lastModifiedBy>Vera Raznatovic</cp:lastModifiedBy>
  <cp:revision>3</cp:revision>
  <dcterms:created xsi:type="dcterms:W3CDTF">2024-03-01T07:53:00Z</dcterms:created>
  <dcterms:modified xsi:type="dcterms:W3CDTF">2024-03-01T07:54:00Z</dcterms:modified>
</cp:coreProperties>
</file>